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2688" w14:textId="77777777" w:rsidR="009A0729" w:rsidRDefault="009A0729" w:rsidP="009A0729">
      <w:pPr>
        <w:tabs>
          <w:tab w:val="center" w:pos="4680"/>
        </w:tabs>
        <w:jc w:val="center"/>
        <w:rPr>
          <w:b/>
          <w:bCs/>
        </w:rPr>
      </w:pPr>
      <w:r>
        <w:rPr>
          <w:b/>
          <w:bCs/>
        </w:rPr>
        <w:t>PUBLIC NOTICE</w:t>
      </w:r>
    </w:p>
    <w:p w14:paraId="0B571D8E" w14:textId="77777777" w:rsidR="009A0729" w:rsidRDefault="009A0729" w:rsidP="009A0729">
      <w:pPr>
        <w:tabs>
          <w:tab w:val="center" w:pos="4680"/>
        </w:tabs>
        <w:jc w:val="both"/>
      </w:pPr>
      <w:r>
        <w:rPr>
          <w:b/>
          <w:bCs/>
        </w:rPr>
        <w:tab/>
        <w:t>TOWN OF RIPLEY</w:t>
      </w:r>
    </w:p>
    <w:p w14:paraId="28158483" w14:textId="77777777" w:rsidR="009A0729" w:rsidRDefault="009A0729" w:rsidP="009A0729">
      <w:pPr>
        <w:jc w:val="both"/>
      </w:pPr>
    </w:p>
    <w:p w14:paraId="5C896AB5" w14:textId="77777777" w:rsidR="009A0729" w:rsidRDefault="009A0729" w:rsidP="009A0729">
      <w:pPr>
        <w:jc w:val="both"/>
      </w:pPr>
    </w:p>
    <w:p w14:paraId="1ECF88C8" w14:textId="77777777" w:rsidR="009A0729" w:rsidRDefault="009A0729" w:rsidP="009A0729">
      <w:pPr>
        <w:ind w:firstLine="720"/>
        <w:jc w:val="both"/>
      </w:pPr>
      <w:r>
        <w:rPr>
          <w:b/>
          <w:bCs/>
        </w:rPr>
        <w:t>NOTICE IS GIVEN,</w:t>
      </w:r>
      <w:r>
        <w:t xml:space="preserve"> that the Town Board of the Town of Ripley, Chautauqua County, New York (the “Town Board”), at a regular meeting held on May 24, 2022, duly adopted, subject to a permissive referendum, a resolution, an abstract of which is as follows:</w:t>
      </w:r>
    </w:p>
    <w:p w14:paraId="1ABF3122" w14:textId="77777777" w:rsidR="009A0729" w:rsidRDefault="009A0729" w:rsidP="009A0729">
      <w:pPr>
        <w:jc w:val="both"/>
      </w:pPr>
    </w:p>
    <w:p w14:paraId="33CC9BFA" w14:textId="77777777" w:rsidR="009A0729" w:rsidRDefault="009A0729" w:rsidP="009A0729">
      <w:pPr>
        <w:ind w:firstLine="720"/>
        <w:jc w:val="both"/>
      </w:pPr>
      <w:r w:rsidRPr="00FA5384">
        <w:t xml:space="preserve">In accordance with Article 7 of the New York State Town Law, such bond resolution will take effect thirty (30) days after the date of its adoption, unless prior to the close of such thirty-day period there is filed with the Town Clerk a petition, subscribed and acknowledged by that number of electors of the Town qualified to vote upon a proposition to raise or expend money equal to at least five percent (5%) of the total vote cast for governor in the Town in the last general election for state officers, but which number of electors shall not be less than </w:t>
      </w:r>
      <w:r>
        <w:t>25</w:t>
      </w:r>
      <w:r w:rsidRPr="00FA5384">
        <w:t>, protesting against such resolution and requesting that it be submitted for approval or disapproval by the qualified electors of the Town.  If such a qualifying petition is filed, a proposition for approval of the resolution shall be submitted at a general or special Town election in accordance with Article 7 of Town Law.</w:t>
      </w:r>
    </w:p>
    <w:p w14:paraId="4B888941" w14:textId="77777777" w:rsidR="009A0729" w:rsidRDefault="009A0729" w:rsidP="009A0729">
      <w:pPr>
        <w:jc w:val="both"/>
      </w:pPr>
    </w:p>
    <w:p w14:paraId="50066EBC" w14:textId="77777777" w:rsidR="009A0729" w:rsidRDefault="009A0729" w:rsidP="009A0729">
      <w:pPr>
        <w:ind w:firstLine="720"/>
        <w:jc w:val="both"/>
      </w:pPr>
      <w:r>
        <w:t>Such Resolution was entitled:</w:t>
      </w:r>
    </w:p>
    <w:p w14:paraId="21D30042" w14:textId="77777777" w:rsidR="009A0729" w:rsidRDefault="009A0729" w:rsidP="009A0729">
      <w:pPr>
        <w:jc w:val="both"/>
      </w:pPr>
    </w:p>
    <w:p w14:paraId="36BDB546" w14:textId="77777777" w:rsidR="009A0729" w:rsidRDefault="009A0729" w:rsidP="009A0729">
      <w:pPr>
        <w:pStyle w:val="BodyText"/>
        <w:ind w:left="748" w:right="758"/>
        <w:rPr>
          <w:b/>
        </w:rPr>
      </w:pPr>
      <w:r w:rsidRPr="00EC1370">
        <w:rPr>
          <w:b/>
        </w:rPr>
        <w:t xml:space="preserve">BOND RESOLUTION OF THE </w:t>
      </w:r>
      <w:r>
        <w:rPr>
          <w:b/>
        </w:rPr>
        <w:t>TOWN BOARD</w:t>
      </w:r>
      <w:r w:rsidRPr="00EC1370">
        <w:rPr>
          <w:b/>
        </w:rPr>
        <w:t xml:space="preserve"> OF THE </w:t>
      </w:r>
      <w:r>
        <w:rPr>
          <w:b/>
        </w:rPr>
        <w:t>TOWN</w:t>
      </w:r>
      <w:r w:rsidRPr="00EC1370">
        <w:rPr>
          <w:b/>
        </w:rPr>
        <w:t xml:space="preserve"> OF </w:t>
      </w:r>
      <w:r>
        <w:rPr>
          <w:b/>
        </w:rPr>
        <w:t>RIPLEY</w:t>
      </w:r>
      <w:r w:rsidRPr="00EC1370">
        <w:rPr>
          <w:b/>
        </w:rPr>
        <w:t xml:space="preserve">, </w:t>
      </w:r>
      <w:r>
        <w:rPr>
          <w:b/>
        </w:rPr>
        <w:t>CHAUTAUQUA</w:t>
      </w:r>
      <w:r w:rsidRPr="00EC1370">
        <w:rPr>
          <w:b/>
        </w:rPr>
        <w:t xml:space="preserve"> COUNTY, NEW YORK, AUTHORIZING </w:t>
      </w:r>
      <w:r>
        <w:rPr>
          <w:b/>
        </w:rPr>
        <w:t>THE ACQUISITION OF A WHEELED EXCAVATOR FOR USE BY THE TOWN</w:t>
      </w:r>
      <w:r w:rsidRPr="00EC1370">
        <w:rPr>
          <w:b/>
        </w:rPr>
        <w:t>; STATING THE MAXIMUM ESTIMATED COST THEREOF IS $</w:t>
      </w:r>
      <w:r>
        <w:rPr>
          <w:b/>
        </w:rPr>
        <w:t>335,000</w:t>
      </w:r>
      <w:r w:rsidRPr="00E24A08">
        <w:rPr>
          <w:b/>
        </w:rPr>
        <w:t>; APPROPRIATING SAID AMOUNT THEREFOR; AND AUTHORIZING THE ISSUANCE OF UP TO $</w:t>
      </w:r>
      <w:r>
        <w:rPr>
          <w:b/>
        </w:rPr>
        <w:t>280,000</w:t>
      </w:r>
      <w:r w:rsidRPr="00E24A08">
        <w:rPr>
          <w:b/>
        </w:rPr>
        <w:t xml:space="preserve"> IN SERIAL BONDS OF THE </w:t>
      </w:r>
      <w:r>
        <w:rPr>
          <w:b/>
        </w:rPr>
        <w:t>TOWN</w:t>
      </w:r>
      <w:r w:rsidRPr="00E24A08">
        <w:rPr>
          <w:b/>
        </w:rPr>
        <w:t xml:space="preserve"> TO FINANCE A PORTION OF SAID APPROPRIATION</w:t>
      </w:r>
      <w:r>
        <w:rPr>
          <w:b/>
        </w:rPr>
        <w:t>.</w:t>
      </w:r>
    </w:p>
    <w:p w14:paraId="26E01B58" w14:textId="77777777" w:rsidR="009A0729" w:rsidRDefault="009A0729" w:rsidP="009A0729">
      <w:pPr>
        <w:jc w:val="both"/>
      </w:pPr>
    </w:p>
    <w:p w14:paraId="7E85BB6F" w14:textId="77777777" w:rsidR="009A0729" w:rsidRDefault="009A0729" w:rsidP="009A0729">
      <w:pPr>
        <w:jc w:val="both"/>
      </w:pPr>
      <w:r>
        <w:t>an abstract of such bond resolution, concisely stating the purpose and effect thereof, being as follows:</w:t>
      </w:r>
    </w:p>
    <w:p w14:paraId="6B748191" w14:textId="77777777" w:rsidR="009A0729" w:rsidRDefault="009A0729" w:rsidP="009A0729">
      <w:pPr>
        <w:jc w:val="both"/>
      </w:pPr>
    </w:p>
    <w:p w14:paraId="6F9B7569" w14:textId="77777777" w:rsidR="009A0729" w:rsidRDefault="009A0729" w:rsidP="009A0729">
      <w:pPr>
        <w:tabs>
          <w:tab w:val="left" w:pos="2431"/>
        </w:tabs>
        <w:ind w:right="10" w:firstLine="748"/>
        <w:jc w:val="both"/>
        <w:rPr>
          <w:szCs w:val="23"/>
        </w:rPr>
      </w:pPr>
      <w:r>
        <w:rPr>
          <w:szCs w:val="23"/>
        </w:rPr>
        <w:t xml:space="preserve">1.  </w:t>
      </w:r>
      <w:r w:rsidRPr="001E5E5E">
        <w:rPr>
          <w:szCs w:val="23"/>
        </w:rPr>
        <w:t>The resolution authorize</w:t>
      </w:r>
      <w:r>
        <w:rPr>
          <w:szCs w:val="23"/>
        </w:rPr>
        <w:t>d</w:t>
      </w:r>
      <w:r w:rsidRPr="001E5E5E">
        <w:rPr>
          <w:szCs w:val="23"/>
        </w:rPr>
        <w:t xml:space="preserve"> </w:t>
      </w:r>
      <w:r>
        <w:rPr>
          <w:szCs w:val="23"/>
        </w:rPr>
        <w:t>the Town</w:t>
      </w:r>
      <w:r w:rsidRPr="001E5E5E">
        <w:rPr>
          <w:szCs w:val="23"/>
        </w:rPr>
        <w:t xml:space="preserve"> to </w:t>
      </w:r>
      <w:r w:rsidRPr="00623C5B">
        <w:rPr>
          <w:szCs w:val="23"/>
        </w:rPr>
        <w:t xml:space="preserve">undertake </w:t>
      </w:r>
      <w:r w:rsidRPr="00D140A4">
        <w:rPr>
          <w:szCs w:val="23"/>
        </w:rPr>
        <w:t xml:space="preserve">the acquisition of </w:t>
      </w:r>
      <w:r>
        <w:rPr>
          <w:szCs w:val="23"/>
        </w:rPr>
        <w:t>a wheeled excavator for the Town</w:t>
      </w:r>
      <w:r w:rsidRPr="001E5E5E">
        <w:rPr>
          <w:szCs w:val="23"/>
        </w:rPr>
        <w:t xml:space="preserve">.  </w:t>
      </w:r>
      <w:r w:rsidRPr="002768AD">
        <w:rPr>
          <w:szCs w:val="23"/>
        </w:rPr>
        <w:t xml:space="preserve">It </w:t>
      </w:r>
      <w:r>
        <w:rPr>
          <w:szCs w:val="23"/>
        </w:rPr>
        <w:t xml:space="preserve">was </w:t>
      </w:r>
      <w:r w:rsidRPr="002768AD">
        <w:rPr>
          <w:szCs w:val="23"/>
        </w:rPr>
        <w:t xml:space="preserve">determined that the maximum estimated cost of </w:t>
      </w:r>
      <w:r>
        <w:rPr>
          <w:szCs w:val="23"/>
        </w:rPr>
        <w:t xml:space="preserve">said specific </w:t>
      </w:r>
      <w:r w:rsidRPr="002768AD">
        <w:rPr>
          <w:szCs w:val="23"/>
        </w:rPr>
        <w:t>object or purpose is $</w:t>
      </w:r>
      <w:r>
        <w:rPr>
          <w:szCs w:val="23"/>
        </w:rPr>
        <w:t xml:space="preserve">335,000 and the resolution further authorized the Town to issue up to </w:t>
      </w:r>
      <w:r w:rsidRPr="002768AD">
        <w:rPr>
          <w:szCs w:val="23"/>
        </w:rPr>
        <w:t>$</w:t>
      </w:r>
      <w:r>
        <w:rPr>
          <w:szCs w:val="23"/>
        </w:rPr>
        <w:t>280,000</w:t>
      </w:r>
      <w:r w:rsidRPr="002768AD">
        <w:rPr>
          <w:szCs w:val="23"/>
        </w:rPr>
        <w:t xml:space="preserve"> </w:t>
      </w:r>
      <w:r>
        <w:rPr>
          <w:szCs w:val="23"/>
        </w:rPr>
        <w:t xml:space="preserve">principal amount of </w:t>
      </w:r>
      <w:r w:rsidRPr="002768AD">
        <w:rPr>
          <w:szCs w:val="23"/>
        </w:rPr>
        <w:t xml:space="preserve">serial bonds </w:t>
      </w:r>
      <w:r w:rsidRPr="00E56EBC">
        <w:rPr>
          <w:szCs w:val="23"/>
        </w:rPr>
        <w:t xml:space="preserve">(including, without limitation, statutory installment bonds) pursuant to the provisions of the Local Finance Law, constituting Chapter 33-a of the Consolidated Laws of the State of New York (the “Law”) to </w:t>
      </w:r>
      <w:r>
        <w:rPr>
          <w:szCs w:val="23"/>
        </w:rPr>
        <w:t xml:space="preserve">finance the estimated cost </w:t>
      </w:r>
      <w:r w:rsidRPr="00E56EBC">
        <w:rPr>
          <w:szCs w:val="23"/>
        </w:rPr>
        <w:t xml:space="preserve">of said specific object or purpose, or bond anticipation notes in anticipation of the such bonds.  </w:t>
      </w:r>
    </w:p>
    <w:p w14:paraId="39F41FFA" w14:textId="77777777" w:rsidR="009A0729" w:rsidRDefault="009A0729" w:rsidP="009A0729">
      <w:pPr>
        <w:tabs>
          <w:tab w:val="left" w:pos="2431"/>
        </w:tabs>
        <w:ind w:right="10" w:firstLine="748"/>
        <w:jc w:val="both"/>
        <w:rPr>
          <w:szCs w:val="23"/>
        </w:rPr>
      </w:pPr>
    </w:p>
    <w:p w14:paraId="657B83C6" w14:textId="77777777" w:rsidR="009A0729" w:rsidRDefault="009A0729" w:rsidP="009A0729">
      <w:pPr>
        <w:jc w:val="both"/>
        <w:rPr>
          <w:szCs w:val="23"/>
        </w:rPr>
      </w:pPr>
      <w:r>
        <w:tab/>
        <w:t>2</w:t>
      </w:r>
      <w:r>
        <w:rPr>
          <w:szCs w:val="23"/>
        </w:rPr>
        <w:t xml:space="preserve">.  </w:t>
      </w:r>
      <w:r w:rsidRPr="00E56EBC">
        <w:rPr>
          <w:szCs w:val="23"/>
        </w:rPr>
        <w:t xml:space="preserve">It </w:t>
      </w:r>
      <w:r>
        <w:rPr>
          <w:szCs w:val="23"/>
        </w:rPr>
        <w:t>wa</w:t>
      </w:r>
      <w:r w:rsidRPr="00E56EBC">
        <w:rPr>
          <w:szCs w:val="23"/>
        </w:rPr>
        <w:t xml:space="preserve">s determined that the maximum estimated cost of the aforementioned specific object or purpose is $255,000, said amount </w:t>
      </w:r>
      <w:r>
        <w:rPr>
          <w:szCs w:val="23"/>
        </w:rPr>
        <w:t>wa</w:t>
      </w:r>
      <w:r w:rsidRPr="00E56EBC">
        <w:rPr>
          <w:szCs w:val="23"/>
        </w:rPr>
        <w:t xml:space="preserve">s appropriated therefor and the plan for the financing thereof shall consist of </w:t>
      </w:r>
      <w:r w:rsidRPr="00DC3246">
        <w:rPr>
          <w:szCs w:val="23"/>
        </w:rPr>
        <w:t>(</w:t>
      </w:r>
      <w:proofErr w:type="spellStart"/>
      <w:r w:rsidRPr="00DC3246">
        <w:rPr>
          <w:szCs w:val="23"/>
        </w:rPr>
        <w:t>i</w:t>
      </w:r>
      <w:proofErr w:type="spellEnd"/>
      <w:r w:rsidRPr="00DC3246">
        <w:rPr>
          <w:szCs w:val="23"/>
        </w:rPr>
        <w:t xml:space="preserve">) </w:t>
      </w:r>
      <w:r w:rsidRPr="003E7222">
        <w:rPr>
          <w:szCs w:val="23"/>
        </w:rPr>
        <w:t>the expenditure of $</w:t>
      </w:r>
      <w:r>
        <w:rPr>
          <w:szCs w:val="23"/>
        </w:rPr>
        <w:t>55,000</w:t>
      </w:r>
      <w:r w:rsidRPr="003E7222">
        <w:rPr>
          <w:szCs w:val="23"/>
        </w:rPr>
        <w:t xml:space="preserve"> in current funds of the </w:t>
      </w:r>
      <w:r>
        <w:rPr>
          <w:szCs w:val="23"/>
        </w:rPr>
        <w:t>Town</w:t>
      </w:r>
      <w:r w:rsidRPr="003E7222">
        <w:rPr>
          <w:szCs w:val="23"/>
        </w:rPr>
        <w:t>,</w:t>
      </w:r>
      <w:r w:rsidRPr="00DC3246">
        <w:rPr>
          <w:szCs w:val="23"/>
        </w:rPr>
        <w:t xml:space="preserve"> (ii) the issuance of up to $</w:t>
      </w:r>
      <w:r>
        <w:rPr>
          <w:szCs w:val="23"/>
        </w:rPr>
        <w:t>280.000</w:t>
      </w:r>
      <w:r w:rsidRPr="00DC3246">
        <w:rPr>
          <w:szCs w:val="23"/>
        </w:rPr>
        <w:t xml:space="preserve"> in serial bonds of the </w:t>
      </w:r>
      <w:r>
        <w:rPr>
          <w:szCs w:val="23"/>
        </w:rPr>
        <w:t>Town</w:t>
      </w:r>
      <w:r w:rsidRPr="00DC3246">
        <w:rPr>
          <w:szCs w:val="23"/>
        </w:rPr>
        <w:t xml:space="preserve"> </w:t>
      </w:r>
      <w:r w:rsidRPr="00687D07">
        <w:rPr>
          <w:szCs w:val="23"/>
        </w:rPr>
        <w:t>to be purchased by the United States Department of Agriculture, Office of Rural Development (“Rural Development”)</w:t>
      </w:r>
      <w:r>
        <w:rPr>
          <w:szCs w:val="23"/>
        </w:rPr>
        <w:t xml:space="preserve">, (iii) certain other grants from Rural Development, and </w:t>
      </w:r>
      <w:r w:rsidRPr="00DC3246">
        <w:rPr>
          <w:szCs w:val="23"/>
        </w:rPr>
        <w:t>(i</w:t>
      </w:r>
      <w:r>
        <w:rPr>
          <w:szCs w:val="23"/>
        </w:rPr>
        <w:t>v</w:t>
      </w:r>
      <w:r w:rsidRPr="00DC3246">
        <w:rPr>
          <w:szCs w:val="23"/>
        </w:rPr>
        <w:t>)</w:t>
      </w:r>
      <w:r>
        <w:rPr>
          <w:szCs w:val="23"/>
        </w:rPr>
        <w:t xml:space="preserve"> </w:t>
      </w:r>
      <w:r w:rsidRPr="00DC3246">
        <w:rPr>
          <w:szCs w:val="23"/>
        </w:rPr>
        <w:t xml:space="preserve">the levy and collection of taxes on all the taxable real property in the </w:t>
      </w:r>
      <w:r>
        <w:rPr>
          <w:szCs w:val="23"/>
        </w:rPr>
        <w:lastRenderedPageBreak/>
        <w:t>Town</w:t>
      </w:r>
      <w:r w:rsidRPr="00DC3246">
        <w:rPr>
          <w:szCs w:val="23"/>
        </w:rPr>
        <w:t xml:space="preserve"> to pay the principal of said bonds and the interest thereon as the same shall become due and payable</w:t>
      </w:r>
      <w:r>
        <w:rPr>
          <w:szCs w:val="23"/>
        </w:rPr>
        <w:t>.</w:t>
      </w:r>
    </w:p>
    <w:p w14:paraId="4E7B277C" w14:textId="77777777" w:rsidR="009A0729" w:rsidRDefault="009A0729" w:rsidP="009A0729">
      <w:pPr>
        <w:jc w:val="both"/>
        <w:rPr>
          <w:szCs w:val="23"/>
        </w:rPr>
      </w:pPr>
    </w:p>
    <w:p w14:paraId="65A690BE" w14:textId="77777777" w:rsidR="009A0729" w:rsidRPr="009B7260" w:rsidRDefault="009A0729" w:rsidP="009A0729">
      <w:pPr>
        <w:ind w:firstLine="720"/>
        <w:jc w:val="both"/>
      </w:pPr>
      <w:r>
        <w:t>3.  I</w:t>
      </w:r>
      <w:r w:rsidRPr="00E56EBC">
        <w:t xml:space="preserve">t </w:t>
      </w:r>
      <w:r>
        <w:t>wa</w:t>
      </w:r>
      <w:r w:rsidRPr="00E56EBC">
        <w:t>s determined that the period of probable usefulness for the aforementioned specific object or purpose is fifteen (15) years, pursuant to subdivision 28. of paragraph a. of Section 11.00 of the Law.</w:t>
      </w:r>
    </w:p>
    <w:p w14:paraId="420BBAEA" w14:textId="77777777" w:rsidR="009A0729" w:rsidRDefault="009A0729" w:rsidP="009A0729">
      <w:pPr>
        <w:ind w:firstLine="720"/>
        <w:jc w:val="both"/>
      </w:pPr>
    </w:p>
    <w:p w14:paraId="570E8071" w14:textId="77777777" w:rsidR="009A0729" w:rsidRDefault="009A0729" w:rsidP="009A0729">
      <w:pPr>
        <w:tabs>
          <w:tab w:val="left" w:pos="1440"/>
        </w:tabs>
        <w:ind w:firstLine="720"/>
        <w:jc w:val="both"/>
        <w:rPr>
          <w:szCs w:val="22"/>
        </w:rPr>
      </w:pPr>
      <w:r>
        <w:rPr>
          <w:szCs w:val="22"/>
        </w:rPr>
        <w:t xml:space="preserve">4.  </w:t>
      </w:r>
      <w:r w:rsidRPr="00E56EBC">
        <w:rPr>
          <w:szCs w:val="22"/>
        </w:rPr>
        <w:t xml:space="preserve">The final maturity of the bonds authorized pursuant to </w:t>
      </w:r>
      <w:r>
        <w:rPr>
          <w:szCs w:val="22"/>
        </w:rPr>
        <w:t xml:space="preserve">the </w:t>
      </w:r>
      <w:r w:rsidRPr="00E56EBC">
        <w:rPr>
          <w:szCs w:val="22"/>
        </w:rPr>
        <w:t xml:space="preserve">resolution </w:t>
      </w:r>
      <w:r>
        <w:rPr>
          <w:szCs w:val="22"/>
        </w:rPr>
        <w:t>may</w:t>
      </w:r>
      <w:r w:rsidRPr="00E56EBC">
        <w:rPr>
          <w:szCs w:val="22"/>
        </w:rPr>
        <w:t xml:space="preserve"> be in excess of five (5) years measured from the date of issuance of the first serial bond or bond anticipation note issued.</w:t>
      </w:r>
    </w:p>
    <w:p w14:paraId="62625C4B" w14:textId="77777777" w:rsidR="009A0729" w:rsidRDefault="009A0729" w:rsidP="009A0729">
      <w:pPr>
        <w:tabs>
          <w:tab w:val="left" w:pos="1440"/>
        </w:tabs>
        <w:ind w:firstLine="720"/>
        <w:jc w:val="both"/>
        <w:rPr>
          <w:szCs w:val="22"/>
        </w:rPr>
      </w:pPr>
    </w:p>
    <w:p w14:paraId="727BA300" w14:textId="77777777" w:rsidR="009A0729" w:rsidRPr="008F285F" w:rsidRDefault="009A0729" w:rsidP="009A0729">
      <w:pPr>
        <w:tabs>
          <w:tab w:val="left" w:pos="1440"/>
        </w:tabs>
        <w:ind w:firstLine="720"/>
        <w:jc w:val="both"/>
        <w:rPr>
          <w:szCs w:val="22"/>
        </w:rPr>
      </w:pPr>
      <w:r>
        <w:rPr>
          <w:szCs w:val="22"/>
        </w:rPr>
        <w:t>5.  T</w:t>
      </w:r>
      <w:r w:rsidRPr="008F285F">
        <w:rPr>
          <w:szCs w:val="22"/>
        </w:rPr>
        <w:t xml:space="preserve">he temporary use of available funds of the Town, not immediately required for the purpose or purposes for which the same were borrowed, raised or otherwise created, </w:t>
      </w:r>
      <w:r>
        <w:rPr>
          <w:szCs w:val="22"/>
        </w:rPr>
        <w:t>wa</w:t>
      </w:r>
      <w:r w:rsidRPr="008F285F">
        <w:rPr>
          <w:szCs w:val="22"/>
        </w:rPr>
        <w:t xml:space="preserve">s authorized pursuant to Section 165.10 of the Law, for the capital purposes described in </w:t>
      </w:r>
      <w:r>
        <w:rPr>
          <w:szCs w:val="22"/>
        </w:rPr>
        <w:t xml:space="preserve">the </w:t>
      </w:r>
      <w:r w:rsidRPr="008F285F">
        <w:rPr>
          <w:szCs w:val="22"/>
        </w:rPr>
        <w:t xml:space="preserve">resolution.  The Town shall reimburse such expenditures with the proceeds of the bonds or bond anticipation notes authorized by </w:t>
      </w:r>
      <w:r>
        <w:rPr>
          <w:szCs w:val="22"/>
        </w:rPr>
        <w:t xml:space="preserve">the </w:t>
      </w:r>
      <w:r w:rsidRPr="008F285F">
        <w:rPr>
          <w:szCs w:val="22"/>
        </w:rPr>
        <w:t>resolution.  Th</w:t>
      </w:r>
      <w:r>
        <w:rPr>
          <w:szCs w:val="22"/>
        </w:rPr>
        <w:t>e</w:t>
      </w:r>
      <w:r w:rsidRPr="008F285F">
        <w:rPr>
          <w:szCs w:val="22"/>
        </w:rPr>
        <w:t xml:space="preserve"> resolution shall constitute a declaration of “official intent” to reimburse the expenditures authorized by </w:t>
      </w:r>
      <w:r>
        <w:rPr>
          <w:szCs w:val="22"/>
        </w:rPr>
        <w:t xml:space="preserve">the resolution </w:t>
      </w:r>
      <w:r w:rsidRPr="008F285F">
        <w:rPr>
          <w:szCs w:val="22"/>
        </w:rPr>
        <w:t xml:space="preserve">with the proceeds of the bonds and bond anticipation notes authorized </w:t>
      </w:r>
      <w:r>
        <w:rPr>
          <w:szCs w:val="22"/>
        </w:rPr>
        <w:t>t</w:t>
      </w:r>
      <w:r w:rsidRPr="008F285F">
        <w:rPr>
          <w:szCs w:val="22"/>
        </w:rPr>
        <w:t>herein, as required by United States Treasury Regulations Section 1.150-2.</w:t>
      </w:r>
    </w:p>
    <w:p w14:paraId="0C293D93" w14:textId="77777777" w:rsidR="009A0729" w:rsidRDefault="009A0729" w:rsidP="009A0729">
      <w:pPr>
        <w:tabs>
          <w:tab w:val="left" w:pos="1440"/>
        </w:tabs>
        <w:ind w:firstLine="720"/>
        <w:jc w:val="both"/>
        <w:rPr>
          <w:szCs w:val="22"/>
        </w:rPr>
      </w:pPr>
    </w:p>
    <w:p w14:paraId="252BEC92" w14:textId="77777777" w:rsidR="009A0729" w:rsidRDefault="009A0729" w:rsidP="009A0729">
      <w:pPr>
        <w:ind w:firstLine="720"/>
        <w:jc w:val="both"/>
      </w:pPr>
      <w:r>
        <w:t>6.</w:t>
      </w:r>
      <w:r>
        <w:tab/>
      </w:r>
      <w:r w:rsidRPr="004B1EB9">
        <w:t xml:space="preserve">Each of the serial bonds authorized by </w:t>
      </w:r>
      <w:r>
        <w:t xml:space="preserve">the </w:t>
      </w:r>
      <w:r w:rsidRPr="004B1EB9">
        <w:t xml:space="preserve">resolution and any bond anticipation notes issued in anticipation of said bonds shall contain the recital of validity prescribed by Section 52.00 of the Law and said serial bonds and any bond anticipation notes issued in anticipation of said bonds shall be general obligations of the Town, payable as to both principal and interest by a general tax upon all the real property within the Town subject to applicable statutory limits, if any.  The faith and credit of the Town </w:t>
      </w:r>
      <w:r>
        <w:t>we</w:t>
      </w:r>
      <w:r w:rsidRPr="004B1EB9">
        <w:t>re irrevocably pledged to the punctual payment of the principal and interest on said serial bonds and bond anticipation notes and provisions shall be made annually in the budget of the Town by appropriation for (a) the amortization and redemption of the bonds and bond anticipation notes to mature in such year and (b) the payment of interest to be due and payable in such year.</w:t>
      </w:r>
    </w:p>
    <w:p w14:paraId="211F7169" w14:textId="77777777" w:rsidR="009A0729" w:rsidRDefault="009A0729" w:rsidP="009A0729">
      <w:pPr>
        <w:ind w:firstLine="720"/>
        <w:jc w:val="both"/>
      </w:pPr>
    </w:p>
    <w:p w14:paraId="4E4E90DA" w14:textId="77777777" w:rsidR="009A0729" w:rsidRPr="009B7260" w:rsidRDefault="009A0729" w:rsidP="009A0729">
      <w:pPr>
        <w:ind w:firstLine="720"/>
        <w:jc w:val="both"/>
      </w:pPr>
      <w:r>
        <w:t>7.</w:t>
      </w:r>
      <w:r>
        <w:tab/>
      </w:r>
      <w:r w:rsidRPr="009B7260">
        <w:t xml:space="preserve">The Town Board delegated to the </w:t>
      </w:r>
      <w:r>
        <w:t>Town Supervisor</w:t>
      </w:r>
      <w:r w:rsidRPr="009B7260">
        <w:t xml:space="preserve"> of the Town the powers and duties </w:t>
      </w:r>
      <w:r>
        <w:t xml:space="preserve">of the Town Board relative to authorizing </w:t>
      </w:r>
      <w:r w:rsidRPr="009B7260">
        <w:t>the issuance of said bonds, and any bond anticipation notes</w:t>
      </w:r>
      <w:r>
        <w:t xml:space="preserve"> including renewals thereof,</w:t>
      </w:r>
      <w:r w:rsidRPr="009B7260">
        <w:t xml:space="preserve"> issued in anticipation of said bonds</w:t>
      </w:r>
      <w:r>
        <w:t xml:space="preserve"> and prescribing the terms, form and content thereof.</w:t>
      </w:r>
    </w:p>
    <w:p w14:paraId="3717CE84" w14:textId="77777777" w:rsidR="009A0729" w:rsidRDefault="009A0729" w:rsidP="009A0729">
      <w:pPr>
        <w:ind w:firstLine="720"/>
        <w:jc w:val="both"/>
      </w:pPr>
    </w:p>
    <w:p w14:paraId="275A7732" w14:textId="77777777" w:rsidR="009A0729" w:rsidRDefault="009A0729" w:rsidP="009A0729">
      <w:pPr>
        <w:ind w:firstLine="720"/>
        <w:jc w:val="both"/>
      </w:pPr>
      <w:r>
        <w:t>8.</w:t>
      </w:r>
      <w:r>
        <w:tab/>
      </w:r>
      <w:r>
        <w:rPr>
          <w:szCs w:val="23"/>
        </w:rPr>
        <w:t>The Town Supervisor was further authorized to take such actions and execute such documents as may be necessary to ensure the continued status of the interest on the bonds authorized by the resolution and any notes issued in anticipation thereof, as excludable from gross income for federal income tax purposes pursuant to Section 103 of the Internal Revenue Code of 1986, as amended (the “Code”) and to designate the bonds authorized by the resolution and any notes issued in anticipation thereof, if applicable, as “qualified tax-exempt bonds” in accordance with Section 265(b)(3)(B)(</w:t>
      </w:r>
      <w:proofErr w:type="spellStart"/>
      <w:r>
        <w:rPr>
          <w:szCs w:val="23"/>
        </w:rPr>
        <w:t>i</w:t>
      </w:r>
      <w:proofErr w:type="spellEnd"/>
      <w:r>
        <w:rPr>
          <w:szCs w:val="23"/>
        </w:rPr>
        <w:t>) of the Code.</w:t>
      </w:r>
    </w:p>
    <w:p w14:paraId="549B7974" w14:textId="77777777" w:rsidR="009A0729" w:rsidRDefault="009A0729" w:rsidP="009A0729">
      <w:pPr>
        <w:ind w:firstLine="720"/>
        <w:jc w:val="both"/>
      </w:pPr>
    </w:p>
    <w:p w14:paraId="6B8F2B22" w14:textId="77777777" w:rsidR="009A0729" w:rsidRDefault="009A0729" w:rsidP="009A0729">
      <w:pPr>
        <w:ind w:firstLine="720"/>
        <w:jc w:val="both"/>
      </w:pPr>
      <w:r>
        <w:t>9.</w:t>
      </w:r>
      <w:r>
        <w:tab/>
      </w:r>
      <w:r>
        <w:rPr>
          <w:szCs w:val="23"/>
        </w:rPr>
        <w:t xml:space="preserve">The Town Supervisor was further authorized to enter into a continuing disclosure undertaking with or for the benefit of the initial purchasers of the bonds or notes authorized by the </w:t>
      </w:r>
      <w:r>
        <w:rPr>
          <w:szCs w:val="23"/>
        </w:rPr>
        <w:lastRenderedPageBreak/>
        <w:t>resolution in compliance with the provisions of Rule 15c2-12, promulgated by the Securities and Exchange Commission pursuant to the Securities Exchange Act of 1934.</w:t>
      </w:r>
    </w:p>
    <w:p w14:paraId="6E76A8F1" w14:textId="77777777" w:rsidR="009A0729" w:rsidRPr="009B7260" w:rsidRDefault="009A0729" w:rsidP="009A0729">
      <w:pPr>
        <w:ind w:firstLine="720"/>
        <w:jc w:val="both"/>
      </w:pPr>
    </w:p>
    <w:p w14:paraId="593C0D7A" w14:textId="77777777" w:rsidR="009A0729" w:rsidRDefault="009A0729" w:rsidP="009A0729">
      <w:pPr>
        <w:ind w:firstLine="720"/>
        <w:jc w:val="both"/>
      </w:pPr>
      <w:r>
        <w:t>10.</w:t>
      </w:r>
      <w:r>
        <w:tab/>
      </w:r>
      <w:r w:rsidRPr="004B1EB9">
        <w:t>The Town Board determine</w:t>
      </w:r>
      <w:r>
        <w:t>d</w:t>
      </w:r>
      <w:r w:rsidRPr="004B1EB9">
        <w:t xml:space="preserve"> that the </w:t>
      </w:r>
      <w:r>
        <w:t xml:space="preserve">actions authorized by the resolution and the adoption thereof collectively </w:t>
      </w:r>
      <w:r w:rsidRPr="004B1EB9">
        <w:t xml:space="preserve">constitute a “Type II” action within the meaning of the State Environmental Quality Review Act and the regulations of the New York State Department of Environmental Conservation thereunder </w:t>
      </w:r>
      <w:r w:rsidRPr="00360327">
        <w:t xml:space="preserve">(6 N.Y.C.R.R. Section 617.5(c)(31)) </w:t>
      </w:r>
      <w:r w:rsidRPr="004B1EB9">
        <w:t xml:space="preserve">(collectively, “SEQRA”) and therefore no further action </w:t>
      </w:r>
      <w:r>
        <w:t>need be taken by the Town Board as a condition precedent to the adoption of the resolution</w:t>
      </w:r>
      <w:r w:rsidRPr="004B1EB9">
        <w:t>.</w:t>
      </w:r>
    </w:p>
    <w:p w14:paraId="6FDDD8C2" w14:textId="77777777" w:rsidR="009A0729" w:rsidRDefault="009A0729" w:rsidP="009A0729">
      <w:pPr>
        <w:ind w:firstLine="720"/>
        <w:jc w:val="both"/>
      </w:pPr>
    </w:p>
    <w:p w14:paraId="2CD189B5" w14:textId="77777777" w:rsidR="009A0729" w:rsidRDefault="009A0729" w:rsidP="009A0729">
      <w:pPr>
        <w:ind w:firstLine="720"/>
        <w:rPr>
          <w:szCs w:val="23"/>
        </w:rPr>
      </w:pPr>
      <w:r>
        <w:t>11.</w:t>
      </w:r>
      <w:r>
        <w:tab/>
      </w:r>
      <w:r w:rsidRPr="009B7260">
        <w:t>The bond resolution was determined to be subject to permissive referendum.</w:t>
      </w:r>
    </w:p>
    <w:p w14:paraId="7D9CA8B6" w14:textId="77777777" w:rsidR="009A0729" w:rsidRDefault="009A0729" w:rsidP="009A0729">
      <w:pPr>
        <w:tabs>
          <w:tab w:val="left" w:pos="2431"/>
        </w:tabs>
        <w:ind w:right="10" w:firstLine="748"/>
        <w:jc w:val="both"/>
        <w:rPr>
          <w:szCs w:val="23"/>
        </w:rPr>
      </w:pPr>
    </w:p>
    <w:p w14:paraId="7E0144A6" w14:textId="77777777" w:rsidR="009A0729" w:rsidRDefault="009A0729" w:rsidP="009A0729">
      <w:pPr>
        <w:ind w:firstLine="720"/>
        <w:jc w:val="both"/>
      </w:pPr>
      <w:r>
        <w:t>BY ORDER OF THE TOWN BOARD OF THE TOWN OF RIPLEY, CHAUTAUQUA COUNTY, NEW YORK.</w:t>
      </w:r>
    </w:p>
    <w:p w14:paraId="11B3A24C" w14:textId="77777777" w:rsidR="009A0729" w:rsidRDefault="009A0729" w:rsidP="009A0729">
      <w:pPr>
        <w:jc w:val="both"/>
      </w:pPr>
    </w:p>
    <w:p w14:paraId="3365F92E" w14:textId="50345772" w:rsidR="009A0729" w:rsidRDefault="009A0729" w:rsidP="009A0729">
      <w:pPr>
        <w:jc w:val="both"/>
      </w:pPr>
      <w:r>
        <w:t>Dated:  May 24, 2022</w:t>
      </w:r>
    </w:p>
    <w:p w14:paraId="030B8F0D" w14:textId="6D7BA901" w:rsidR="009A0729" w:rsidRDefault="009A0729" w:rsidP="009A0729">
      <w:pPr>
        <w:jc w:val="both"/>
      </w:pPr>
    </w:p>
    <w:p w14:paraId="3C0F8FEA" w14:textId="09973E43" w:rsidR="009A0729" w:rsidRDefault="009A0729" w:rsidP="009A0729">
      <w:pPr>
        <w:jc w:val="both"/>
      </w:pPr>
      <w:r>
        <w:t>Ryleigh Enterline</w:t>
      </w:r>
    </w:p>
    <w:p w14:paraId="0A3C4DEF" w14:textId="2E4ABF1C" w:rsidR="009A0729" w:rsidRDefault="009A0729" w:rsidP="009A0729">
      <w:pPr>
        <w:jc w:val="both"/>
      </w:pPr>
      <w:r>
        <w:t xml:space="preserve">Deputy Town Clerk </w:t>
      </w:r>
    </w:p>
    <w:p w14:paraId="18FB231C" w14:textId="77777777" w:rsidR="00BD6FE5" w:rsidRDefault="00BD6FE5"/>
    <w:sectPr w:rsidR="00BD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29"/>
    <w:rsid w:val="009A0729"/>
    <w:rsid w:val="00B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4E84"/>
  <w15:chartTrackingRefBased/>
  <w15:docId w15:val="{7F60CC4A-C201-43B7-844B-BF8D2741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729"/>
    <w:pPr>
      <w:jc w:val="both"/>
    </w:pPr>
    <w:rPr>
      <w:szCs w:val="23"/>
    </w:rPr>
  </w:style>
  <w:style w:type="character" w:customStyle="1" w:styleId="BodyTextChar">
    <w:name w:val="Body Text Char"/>
    <w:basedOn w:val="DefaultParagraphFont"/>
    <w:link w:val="BodyText"/>
    <w:rsid w:val="009A0729"/>
    <w:rPr>
      <w:rFonts w:ascii="Times New Roman" w:eastAsia="Times New Roman" w:hAnsi="Times New Roman" w:cs="Times New Roman"/>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1</cp:revision>
  <dcterms:created xsi:type="dcterms:W3CDTF">2022-05-26T17:37:00Z</dcterms:created>
  <dcterms:modified xsi:type="dcterms:W3CDTF">2022-05-26T17:38:00Z</dcterms:modified>
</cp:coreProperties>
</file>